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Page-1 Overview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Reference Genome Resource Center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COVID-19 update:</w:t>
      </w:r>
    </w:p>
    <w:p>
      <w:pPr>
        <w:pStyle w:val="Body"/>
        <w:bidi w:val="0"/>
      </w:pPr>
      <w:r>
        <w:rPr>
          <w:rtl w:val="0"/>
        </w:rPr>
        <w:t xml:space="preserve">As of </w:t>
      </w:r>
      <w:r>
        <w:rPr>
          <w:rtl w:val="0"/>
        </w:rPr>
        <w:t>7</w:t>
      </w:r>
      <w:r>
        <w:rPr>
          <w:rtl w:val="0"/>
        </w:rPr>
        <w:t>/1/2020, along with the Rockefeller University</w:t>
      </w:r>
      <w:r>
        <w:rPr>
          <w:rtl w:val="1"/>
        </w:rPr>
        <w:t>’</w:t>
      </w:r>
      <w:r>
        <w:rPr>
          <w:rtl w:val="0"/>
        </w:rPr>
        <w:t>s Research Restart Plan, RGRC starts performing services under Phase-</w:t>
      </w:r>
      <w:r>
        <w:rPr>
          <w:rtl w:val="0"/>
        </w:rPr>
        <w:t>I</w:t>
      </w:r>
      <w:r>
        <w:rPr>
          <w:rtl w:val="0"/>
          <w:lang w:val="fr-FR"/>
        </w:rPr>
        <w:t>II Operations conditions.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Reference Genome Resource Center (RGRC) at the Rockefeller University is a Resource Center specializing in high-molecular weight DNA and long-read genomic technologies.</w:t>
      </w:r>
    </w:p>
    <w:p>
      <w:pPr>
        <w:pStyle w:val="Body"/>
        <w:bidi w:val="0"/>
      </w:pPr>
      <w:r>
        <w:rPr>
          <w:rtl w:val="0"/>
        </w:rPr>
        <w:t xml:space="preserve">The RGRC is one of the three main sequencing hubs of an international collaboration known as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"https://vertebrategenomesproject.org"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Vertebrate Genomes Project</w:t>
      </w:r>
      <w:r>
        <w:rPr/>
        <w:fldChar w:fldCharType="end" w:fldLock="0"/>
      </w:r>
      <w:r>
        <w:rPr>
          <w:rtl w:val="0"/>
        </w:rPr>
        <w:t xml:space="preserve"> (VGP). The VGP aims to produce near error-free, high-quality, phased, chromosome-level, annotated, reference genome assemblies of all extant 66,000 vertebrate species.</w:t>
      </w:r>
    </w:p>
    <w:p>
      <w:pPr>
        <w:pStyle w:val="Body"/>
        <w:bidi w:val="0"/>
      </w:pPr>
      <w:r>
        <w:rPr>
          <w:rtl w:val="0"/>
        </w:rPr>
        <w:t>The RGRC experience and technical capability in long-reads are available to Rockefeller and external academic users.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offer the following services: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PacBio sequencing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Bionano optical mapping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Contact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"mailto:vgl@rockefeller.edu"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vgl@rockefeller.edu</w:t>
      </w:r>
      <w:r>
        <w:rPr/>
        <w:fldChar w:fldCharType="end" w:fldLock="0"/>
      </w:r>
      <w:r>
        <w:rPr>
          <w:rtl w:val="0"/>
        </w:rPr>
        <w:t xml:space="preserve"> for more information.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u w:val="single"/>
          <w:rtl w:val="0"/>
          <w:lang w:val="en-US"/>
        </w:rPr>
        <w:t>Page-2 Services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22"/>
        <w:gridCol w:w="1551"/>
        <w:gridCol w:w="278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5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SERVICE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RU User</w:t>
            </w:r>
          </w:p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External Academic User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Pacbio Sequel II - 1 smrtcell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Pacbio genomic library (Hifi or CLR)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PacBio Iso-seq library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Bionano optical map (1 chip= 3 flowcells)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pt-PT"/>
        </w:rPr>
        <w:t>Page-</w:t>
      </w:r>
      <w:r>
        <w:rPr>
          <w:b w:val="1"/>
          <w:bCs w:val="1"/>
          <w:u w:val="single"/>
          <w:rtl w:val="0"/>
          <w:lang w:val="en-US"/>
        </w:rPr>
        <w:t>3</w:t>
      </w:r>
      <w:r>
        <w:rPr>
          <w:b w:val="1"/>
          <w:bCs w:val="1"/>
          <w:u w:val="single"/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Instruments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Pacific Biosciences Sequels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-392430</wp:posOffset>
            </wp:positionH>
            <wp:positionV relativeFrom="line">
              <wp:posOffset>207102</wp:posOffset>
            </wp:positionV>
            <wp:extent cx="1475214" cy="2021589"/>
            <wp:effectExtent l="0" t="0" r="0" b="0"/>
            <wp:wrapThrough wrapText="bothSides" distL="152400" distR="152400">
              <wp:wrapPolygon edited="1">
                <wp:start x="89" y="65"/>
                <wp:lineTo x="21600" y="65"/>
                <wp:lineTo x="21600" y="21600"/>
                <wp:lineTo x="89" y="21600"/>
                <wp:lineTo x="89" y="6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14" cy="2021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RGRC has two</w:t>
      </w:r>
      <w:r>
        <w:rPr>
          <w:rtl w:val="0"/>
        </w:rPr>
        <w:t> </w:t>
      </w:r>
      <w:r>
        <w:rPr>
          <w:rtl w:val="0"/>
          <w:lang w:val="it-IT"/>
        </w:rPr>
        <w:t xml:space="preserve">PacBio Sequel </w:t>
      </w:r>
      <w:r>
        <w:rPr>
          <w:rtl w:val="0"/>
        </w:rPr>
        <w:t xml:space="preserve">2 </w:t>
      </w:r>
      <w:r>
        <w:rPr>
          <w:rtl w:val="0"/>
        </w:rPr>
        <w:t>instruments</w:t>
      </w:r>
      <w:r>
        <w:rPr>
          <w:rtl w:val="0"/>
        </w:rPr>
        <w:t xml:space="preserve"> and one PacBio Sequel 1 insturment</w:t>
      </w:r>
      <w:r>
        <w:rPr>
          <w:rtl w:val="0"/>
        </w:rPr>
        <w:t>. The PacBio Sequel is a third-generation sequencer based on PacBio-proven Single Molecule Real-Time (SMRT) technology to generate long reads with high consensus accuracy and uniform coverage.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Applications: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it-IT"/>
        </w:rPr>
        <w:t>Reference genome assembly</w:t>
      </w:r>
      <w:r>
        <w:rPr>
          <w:rtl w:val="0"/>
        </w:rPr>
        <w:t xml:space="preserve"> (CLR or Hifi)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Full length transcriptome sequencing (Iso-seq)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fr-FR"/>
        </w:rPr>
        <w:t>Complex populations (e.g. bacteria, viruses)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Targeted sequencing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de-DE"/>
        </w:rPr>
        <w:t>Epigenetic</w:t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-392429</wp:posOffset>
            </wp:positionH>
            <wp:positionV relativeFrom="line">
              <wp:posOffset>247491</wp:posOffset>
            </wp:positionV>
            <wp:extent cx="2287898" cy="1077016"/>
            <wp:effectExtent l="0" t="0" r="0" b="0"/>
            <wp:wrapThrough wrapText="bothSides" distL="152400" distR="152400">
              <wp:wrapPolygon edited="1">
                <wp:start x="11288" y="0"/>
                <wp:lineTo x="16803" y="305"/>
                <wp:lineTo x="19819" y="793"/>
                <wp:lineTo x="20221" y="2502"/>
                <wp:lineTo x="20623" y="5858"/>
                <wp:lineTo x="20681" y="8542"/>
                <wp:lineTo x="20480" y="8542"/>
                <wp:lineTo x="20537" y="9641"/>
                <wp:lineTo x="20681" y="9702"/>
                <wp:lineTo x="20681" y="17024"/>
                <wp:lineTo x="20365" y="17695"/>
                <wp:lineTo x="19905" y="17939"/>
                <wp:lineTo x="17722" y="18122"/>
                <wp:lineTo x="19474" y="18244"/>
                <wp:lineTo x="19877" y="18671"/>
                <wp:lineTo x="19762" y="18976"/>
                <wp:lineTo x="17493" y="19403"/>
                <wp:lineTo x="2815" y="19342"/>
                <wp:lineTo x="1781" y="18976"/>
                <wp:lineTo x="1781" y="18671"/>
                <wp:lineTo x="2413" y="18183"/>
                <wp:lineTo x="3734" y="18122"/>
                <wp:lineTo x="1580" y="18061"/>
                <wp:lineTo x="1609" y="17817"/>
                <wp:lineTo x="1120" y="17634"/>
                <wp:lineTo x="862" y="17024"/>
                <wp:lineTo x="862" y="9824"/>
                <wp:lineTo x="1034" y="9702"/>
                <wp:lineTo x="1034" y="8603"/>
                <wp:lineTo x="776" y="8603"/>
                <wp:lineTo x="977" y="4759"/>
                <wp:lineTo x="1436" y="1769"/>
                <wp:lineTo x="1723" y="854"/>
                <wp:lineTo x="6635" y="183"/>
                <wp:lineTo x="1128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98" cy="1077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Bionano Genomics Saphyr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</w:t>
      </w:r>
      <w:r>
        <w:rPr>
          <w:rtl w:val="0"/>
        </w:rPr>
        <w:t> </w:t>
      </w:r>
      <w:r>
        <w:rPr>
          <w:rtl w:val="0"/>
        </w:rPr>
        <w:t>Saphyr System is an optical mapping automated instrument. It allows imaging of high-molecular weight DNA migrating through NanoChannel arrays on the Saphyr Chip. This technology can be used to study of genomic structural variation sensitivity and scaffolding genomes.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Applications: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Structural variation (large insertions/deletions, translocations, inversions)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Reference genome assembly (scaffolding and assemblies correction)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Page-4 Contact us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Reference Genome Resource Center</w:t>
      </w:r>
    </w:p>
    <w:p>
      <w:pPr>
        <w:pStyle w:val="Body"/>
        <w:bidi w:val="0"/>
      </w:pPr>
      <w:r>
        <w:rPr>
          <w:rtl w:val="0"/>
        </w:rPr>
        <w:t>Weiss Building (7th floor)</w:t>
      </w:r>
    </w:p>
    <w:p>
      <w:pPr>
        <w:pStyle w:val="Body"/>
        <w:bidi w:val="0"/>
      </w:pPr>
      <w:r>
        <w:rPr>
          <w:rtl w:val="0"/>
        </w:rPr>
        <w:t>The Rockefeller University</w:t>
      </w:r>
    </w:p>
    <w:p>
      <w:pPr>
        <w:pStyle w:val="Body"/>
        <w:bidi w:val="0"/>
      </w:pPr>
      <w:r>
        <w:rPr>
          <w:rtl w:val="0"/>
        </w:rPr>
        <w:t>1230 York Avenue</w:t>
      </w:r>
    </w:p>
    <w:p>
      <w:pPr>
        <w:pStyle w:val="Body"/>
        <w:bidi w:val="0"/>
      </w:pPr>
      <w:r>
        <w:rPr>
          <w:rtl w:val="0"/>
        </w:rPr>
        <w:t>New York, NY 10065</w:t>
      </w:r>
    </w:p>
    <w:p>
      <w:pPr>
        <w:pStyle w:val="Body"/>
        <w:bidi w:val="0"/>
      </w:pPr>
      <w:r>
        <w:rPr>
          <w:rtl w:val="0"/>
        </w:rPr>
        <w:t xml:space="preserve">Phone: (212) 327-8216 </w:t>
      </w:r>
    </w:p>
    <w:p>
      <w:pPr>
        <w:pStyle w:val="Body"/>
        <w:bidi w:val="0"/>
      </w:pPr>
      <w:r>
        <w:rPr>
          <w:rtl w:val="0"/>
        </w:rPr>
        <w:t xml:space="preserve">Fax: (212) 327-8276 </w:t>
      </w:r>
    </w:p>
    <w:p>
      <w:pPr>
        <w:pStyle w:val="Body"/>
        <w:bidi w:val="0"/>
      </w:pPr>
      <w:r>
        <w:rPr>
          <w:rtl w:val="0"/>
        </w:rPr>
        <w:t>Email: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"mailto:vgl@rockefeller.edu"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vgl@rockefeller.edu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scheduling: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"https://Referencegenomeresourcecenter.youcanbook.me"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https://Referencegenomeresourcecenter.youcanbook.me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Staff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"mailto:ofedrigo@rockefeller.edu"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Olivier Fedrigo</w:t>
      </w:r>
      <w:r>
        <w:rPr/>
        <w:fldChar w:fldCharType="end" w:fldLock="0"/>
      </w:r>
      <w:r>
        <w:rPr>
          <w:rtl w:val="0"/>
        </w:rPr>
        <w:t>, Ph.D. Director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"mailto:jmountcast@rockefeller.edu"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Jacquelyn Mountcastle</w:t>
      </w:r>
      <w:r>
        <w:rPr/>
        <w:fldChar w:fldCharType="end" w:fldLock="0"/>
      </w:r>
      <w:r>
        <w:rPr>
          <w:rtl w:val="0"/>
        </w:rPr>
        <w:t xml:space="preserve">, M.P.H. </w:t>
      </w:r>
      <w:r>
        <w:rPr>
          <w:rtl w:val="0"/>
        </w:rPr>
        <w:t xml:space="preserve">Research Support </w:t>
      </w:r>
      <w:r>
        <w:rPr>
          <w:rtl w:val="0"/>
        </w:rPr>
        <w:t>Associate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"mailto:jbalacco@rockefeller.edu"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Jennifer Balacco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tl w:val="0"/>
          <w:lang w:val="de-DE"/>
        </w:rPr>
        <w:t>MSc</w:t>
      </w:r>
      <w:r>
        <w:rPr>
          <w:rtl w:val="0"/>
        </w:rPr>
        <w:t xml:space="preserve"> </w:t>
      </w:r>
      <w:r>
        <w:rPr>
          <w:rtl w:val="0"/>
        </w:rPr>
        <w:t xml:space="preserve">Research Support </w:t>
      </w:r>
      <w:r>
        <w:rPr>
          <w:rtl w:val="0"/>
        </w:rPr>
        <w:t>Associate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b w:val="1"/>
          <w:bCs w:val="1"/>
          <w:u w:val="single"/>
          <w:rtl w:val="0"/>
          <w:lang w:val="pt-PT"/>
        </w:rPr>
        <w:t>Page-</w:t>
      </w:r>
      <w:r>
        <w:rPr>
          <w:b w:val="1"/>
          <w:bCs w:val="1"/>
          <w:u w:val="single"/>
          <w:rtl w:val="0"/>
          <w:lang w:val="en-US"/>
        </w:rPr>
        <w:t>5</w:t>
      </w:r>
      <w:r>
        <w:rPr>
          <w:u w:val="single"/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Reference Genome Resource Center Phase II Operations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During phase </w:t>
      </w:r>
      <w:r>
        <w:rPr>
          <w:rtl w:val="0"/>
        </w:rPr>
        <w:t>I</w:t>
      </w:r>
      <w:r>
        <w:rPr>
          <w:rtl w:val="0"/>
        </w:rPr>
        <w:t>II, the</w:t>
      </w:r>
      <w:r>
        <w:rPr>
          <w:rtl w:val="0"/>
        </w:rPr>
        <w:t> </w:t>
      </w:r>
      <w:r>
        <w:rPr>
          <w:rtl w:val="0"/>
        </w:rPr>
        <w:t>Reference Genome Resource Center will</w:t>
      </w:r>
      <w:r>
        <w:rPr>
          <w:rtl w:val="0"/>
        </w:rPr>
        <w:t> </w:t>
      </w:r>
      <w:r>
        <w:rPr>
          <w:rtl w:val="0"/>
        </w:rPr>
        <w:t>operate at lower capacity. Users should expect longer than normal turnaround time.</w:t>
      </w:r>
    </w:p>
    <w:p>
      <w:pPr>
        <w:pStyle w:val="Body"/>
        <w:bidi w:val="0"/>
      </w:pPr>
      <w:r>
        <w:rPr>
          <w:rtl w:val="0"/>
        </w:rPr>
        <w:t>All service requests need to be made ahead of time through email (vgl@rockefeller.edu) and we will schedule a drop-off time. Please wear a mask and gloves when bringing your sample. Someone from the RGRC team will meet you at the main lab entrance of the lab (elevator lobby, Weiss 708). Users won</w:t>
      </w:r>
      <w:r>
        <w:rPr>
          <w:rtl w:val="1"/>
        </w:rPr>
        <w:t>’</w:t>
      </w:r>
      <w:r>
        <w:rPr>
          <w:rtl w:val="0"/>
        </w:rPr>
        <w:t>t be allowed in the</w:t>
      </w:r>
      <w:r>
        <w:rPr>
          <w:rtl w:val="0"/>
        </w:rPr>
        <w:t> </w:t>
      </w:r>
      <w:r>
        <w:rPr>
          <w:rtl w:val="0"/>
        </w:rPr>
        <w:t>RGRC</w:t>
      </w:r>
      <w:r>
        <w:rPr>
          <w:rtl w:val="0"/>
        </w:rPr>
        <w:t> </w:t>
      </w:r>
      <w:r>
        <w:rPr>
          <w:rtl w:val="0"/>
        </w:rPr>
        <w:t>lab and office spaces.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